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3E4" w:rsidRPr="009A5731" w:rsidRDefault="004563E4" w:rsidP="004563E4">
      <w:pPr>
        <w:pStyle w:val="Corpsdetexte1"/>
        <w:ind w:firstLine="0"/>
        <w:rPr>
          <w:rFonts w:asciiTheme="majorHAnsi" w:hAnsiTheme="majorHAnsi"/>
          <w:b/>
          <w:color w:val="000000"/>
          <w:sz w:val="28"/>
          <w:szCs w:val="24"/>
        </w:rPr>
      </w:pPr>
      <w:bookmarkStart w:id="0" w:name="_GoBack"/>
      <w:bookmarkEnd w:id="0"/>
      <w:r w:rsidRPr="009A5731">
        <w:rPr>
          <w:rFonts w:asciiTheme="majorHAnsi" w:hAnsiTheme="majorHAnsi"/>
          <w:b/>
          <w:color w:val="000000"/>
          <w:sz w:val="28"/>
          <w:szCs w:val="24"/>
        </w:rPr>
        <w:t>Hydrothermal vents as a 'new' source for some dissolved trace metals and the role of organic ligands for their stabilization.</w:t>
      </w:r>
    </w:p>
    <w:p w:rsidR="004563E4" w:rsidRDefault="004563E4" w:rsidP="004563E4">
      <w:pPr>
        <w:pStyle w:val="Corpsdetexte1"/>
        <w:ind w:firstLine="0"/>
        <w:rPr>
          <w:rFonts w:asciiTheme="majorHAnsi" w:hAnsiTheme="majorHAnsi"/>
          <w:b/>
          <w:color w:val="000000"/>
          <w:sz w:val="24"/>
          <w:szCs w:val="24"/>
        </w:rPr>
      </w:pPr>
    </w:p>
    <w:p w:rsidR="004563E4" w:rsidRPr="009A5731" w:rsidRDefault="004563E4" w:rsidP="004563E4">
      <w:pPr>
        <w:pStyle w:val="Corpsdetexte1"/>
        <w:ind w:firstLine="0"/>
        <w:rPr>
          <w:rFonts w:asciiTheme="majorHAnsi" w:hAnsiTheme="majorHAnsi"/>
          <w:b/>
          <w:i/>
          <w:color w:val="000000"/>
          <w:sz w:val="24"/>
          <w:szCs w:val="24"/>
        </w:rPr>
      </w:pPr>
      <w:r w:rsidRPr="009A5731">
        <w:rPr>
          <w:rFonts w:asciiTheme="majorHAnsi" w:hAnsiTheme="majorHAnsi"/>
          <w:b/>
          <w:i/>
          <w:color w:val="000000"/>
          <w:sz w:val="24"/>
          <w:szCs w:val="24"/>
        </w:rPr>
        <w:t>Research Associate Professor Sylvia G. Sander, Department of Chemistry, University of Otago</w:t>
      </w:r>
    </w:p>
    <w:p w:rsidR="004563E4" w:rsidRPr="009A5731" w:rsidRDefault="004563E4" w:rsidP="004563E4">
      <w:pPr>
        <w:pStyle w:val="Corpsdetexte1"/>
        <w:ind w:firstLine="0"/>
        <w:rPr>
          <w:rFonts w:asciiTheme="majorHAnsi" w:hAnsiTheme="majorHAnsi"/>
          <w:b/>
          <w:i/>
          <w:color w:val="000000"/>
          <w:sz w:val="24"/>
          <w:szCs w:val="24"/>
        </w:rPr>
      </w:pPr>
      <w:r w:rsidRPr="009A5731">
        <w:rPr>
          <w:rFonts w:asciiTheme="majorHAnsi" w:hAnsiTheme="majorHAnsi"/>
          <w:b/>
          <w:i/>
          <w:color w:val="000000"/>
          <w:sz w:val="24"/>
          <w:szCs w:val="24"/>
        </w:rPr>
        <w:t>Director NIWA/University of Otago Research Centre for Oceanography,</w:t>
      </w:r>
    </w:p>
    <w:p w:rsidR="004563E4" w:rsidRPr="009A5731" w:rsidRDefault="004563E4" w:rsidP="004563E4">
      <w:pPr>
        <w:pStyle w:val="Corpsdetexte1"/>
        <w:ind w:firstLine="0"/>
        <w:rPr>
          <w:rFonts w:asciiTheme="majorHAnsi" w:hAnsiTheme="majorHAnsi"/>
          <w:b/>
          <w:i/>
          <w:color w:val="000000"/>
          <w:sz w:val="24"/>
          <w:szCs w:val="24"/>
        </w:rPr>
      </w:pPr>
      <w:r w:rsidRPr="009A5731">
        <w:rPr>
          <w:rFonts w:asciiTheme="majorHAnsi" w:hAnsiTheme="majorHAnsi"/>
          <w:b/>
          <w:i/>
          <w:color w:val="000000"/>
          <w:sz w:val="24"/>
          <w:szCs w:val="24"/>
        </w:rPr>
        <w:t>Co-Director of Diploma for Graduates Programme</w:t>
      </w:r>
    </w:p>
    <w:p w:rsidR="004563E4" w:rsidRDefault="004563E4" w:rsidP="004563E4">
      <w:pPr>
        <w:pStyle w:val="Corpsdetexte1"/>
        <w:ind w:firstLine="0"/>
        <w:rPr>
          <w:rFonts w:asciiTheme="majorHAnsi" w:hAnsiTheme="majorHAnsi"/>
          <w:b/>
          <w:color w:val="000000"/>
          <w:sz w:val="24"/>
          <w:szCs w:val="24"/>
        </w:rPr>
      </w:pPr>
    </w:p>
    <w:p w:rsidR="004563E4" w:rsidRPr="009A5731" w:rsidRDefault="004563E4" w:rsidP="004563E4">
      <w:pPr>
        <w:pStyle w:val="Corpsdetexte1"/>
        <w:ind w:firstLine="0"/>
        <w:rPr>
          <w:rFonts w:asciiTheme="majorHAnsi" w:hAnsiTheme="majorHAnsi"/>
          <w:b/>
          <w:sz w:val="24"/>
          <w:szCs w:val="24"/>
        </w:rPr>
      </w:pPr>
    </w:p>
    <w:p w:rsidR="004563E4" w:rsidRDefault="004563E4" w:rsidP="004563E4">
      <w:pPr>
        <w:pStyle w:val="Corpsdetexte1"/>
        <w:rPr>
          <w:rFonts w:asciiTheme="majorHAnsi" w:hAnsiTheme="majorHAnsi"/>
          <w:sz w:val="24"/>
          <w:szCs w:val="24"/>
        </w:rPr>
      </w:pPr>
      <w:r w:rsidRPr="009A5731">
        <w:rPr>
          <w:rFonts w:asciiTheme="majorHAnsi" w:hAnsiTheme="majorHAnsi"/>
          <w:sz w:val="24"/>
          <w:szCs w:val="24"/>
        </w:rPr>
        <w:t xml:space="preserve">Many trace metals are essential for living organisms and are a crucial component of many metabolic processes. Iron (Fe) for example is necessary for photosyntheis, but due to its low solubility in seawater, dissolved Fe (DFe) concentrations in the ocean are exceedingly low, limiting phytoplankton growth in about 20% of the world’s ocean and making it very important to understand the biogeochemical cyling in the ocean. </w:t>
      </w:r>
      <w:r>
        <w:rPr>
          <w:rFonts w:asciiTheme="majorHAnsi" w:hAnsiTheme="majorHAnsi"/>
          <w:sz w:val="24"/>
          <w:szCs w:val="24"/>
        </w:rPr>
        <w:t>Copper on the other side is both a micronutrient and toxicant to marine organisms and the effect is based on its free ionic form (Cu</w:t>
      </w:r>
      <w:r w:rsidRPr="004563E4">
        <w:rPr>
          <w:rFonts w:asciiTheme="majorHAnsi" w:hAnsiTheme="majorHAnsi"/>
          <w:sz w:val="24"/>
          <w:szCs w:val="24"/>
          <w:vertAlign w:val="superscript"/>
        </w:rPr>
        <w:t>2+</w:t>
      </w:r>
      <w:r>
        <w:rPr>
          <w:rFonts w:asciiTheme="majorHAnsi" w:hAnsiTheme="majorHAnsi"/>
          <w:sz w:val="24"/>
          <w:szCs w:val="24"/>
        </w:rPr>
        <w:t xml:space="preserve">), which in turn is defined by organic and inorganic ligands.  </w:t>
      </w:r>
      <w:r w:rsidRPr="009A5731">
        <w:rPr>
          <w:rFonts w:asciiTheme="majorHAnsi" w:hAnsiTheme="majorHAnsi"/>
          <w:sz w:val="24"/>
          <w:szCs w:val="24"/>
        </w:rPr>
        <w:t xml:space="preserve">Recently, it was shown that hydrothermal venting provides a significant source of DFe </w:t>
      </w:r>
      <w:r>
        <w:rPr>
          <w:rFonts w:asciiTheme="majorHAnsi" w:hAnsiTheme="majorHAnsi"/>
          <w:sz w:val="24"/>
          <w:szCs w:val="24"/>
        </w:rPr>
        <w:t xml:space="preserve">and DCu </w:t>
      </w:r>
      <w:r w:rsidRPr="009A5731">
        <w:rPr>
          <w:rFonts w:asciiTheme="majorHAnsi" w:hAnsiTheme="majorHAnsi"/>
          <w:sz w:val="24"/>
          <w:szCs w:val="24"/>
        </w:rPr>
        <w:t xml:space="preserve">to the </w:t>
      </w:r>
      <w:r>
        <w:rPr>
          <w:rFonts w:asciiTheme="majorHAnsi" w:hAnsiTheme="majorHAnsi"/>
          <w:sz w:val="24"/>
          <w:szCs w:val="24"/>
        </w:rPr>
        <w:t xml:space="preserve">deep </w:t>
      </w:r>
      <w:r w:rsidRPr="009A5731">
        <w:rPr>
          <w:rFonts w:asciiTheme="majorHAnsi" w:hAnsiTheme="majorHAnsi"/>
          <w:sz w:val="24"/>
          <w:szCs w:val="24"/>
        </w:rPr>
        <w:t>oceans</w:t>
      </w:r>
      <w:r w:rsidRPr="009A5731">
        <w:rPr>
          <w:rFonts w:asciiTheme="majorHAnsi" w:hAnsiTheme="majorHAnsi"/>
          <w:sz w:val="24"/>
          <w:szCs w:val="24"/>
          <w:vertAlign w:val="superscript"/>
        </w:rPr>
        <w:t>1</w:t>
      </w:r>
      <w:r w:rsidRPr="009A5731">
        <w:rPr>
          <w:rFonts w:asciiTheme="majorHAnsi" w:hAnsiTheme="majorHAnsi"/>
          <w:sz w:val="24"/>
          <w:szCs w:val="24"/>
        </w:rPr>
        <w:t xml:space="preserve">. </w:t>
      </w:r>
    </w:p>
    <w:p w:rsidR="004563E4" w:rsidRDefault="004563E4" w:rsidP="004563E4">
      <w:pPr>
        <w:pStyle w:val="Corpsdetexte1"/>
        <w:rPr>
          <w:rFonts w:asciiTheme="majorHAnsi" w:hAnsiTheme="majorHAnsi"/>
          <w:sz w:val="24"/>
          <w:szCs w:val="24"/>
        </w:rPr>
      </w:pPr>
      <w:r>
        <w:rPr>
          <w:rFonts w:asciiTheme="majorHAnsi" w:hAnsiTheme="majorHAnsi"/>
          <w:sz w:val="24"/>
          <w:szCs w:val="24"/>
        </w:rPr>
        <w:t xml:space="preserve">In this talk I will present recent field and modelling data for copper and iron associated with hydrothermal venting. </w:t>
      </w:r>
    </w:p>
    <w:p w:rsidR="004563E4" w:rsidRPr="009A5731" w:rsidRDefault="004563E4" w:rsidP="004563E4">
      <w:pPr>
        <w:pStyle w:val="Corpsdetexte1"/>
        <w:rPr>
          <w:rFonts w:asciiTheme="majorHAnsi" w:hAnsiTheme="majorHAnsi"/>
          <w:sz w:val="24"/>
          <w:szCs w:val="24"/>
        </w:rPr>
      </w:pPr>
    </w:p>
    <w:p w:rsidR="004563E4" w:rsidRPr="009A5731" w:rsidRDefault="004563E4" w:rsidP="004563E4">
      <w:pPr>
        <w:pStyle w:val="Corpsdetexte1"/>
        <w:rPr>
          <w:rFonts w:asciiTheme="majorHAnsi" w:hAnsiTheme="majorHAnsi"/>
          <w:i/>
          <w:sz w:val="24"/>
          <w:szCs w:val="24"/>
        </w:rPr>
      </w:pPr>
      <w:r w:rsidRPr="009A5731">
        <w:rPr>
          <w:rFonts w:asciiTheme="majorHAnsi" w:hAnsiTheme="majorHAnsi"/>
          <w:i/>
          <w:sz w:val="24"/>
          <w:szCs w:val="24"/>
        </w:rPr>
        <w:t>References:</w:t>
      </w:r>
    </w:p>
    <w:p w:rsidR="004563E4" w:rsidRPr="009A5731" w:rsidRDefault="004563E4" w:rsidP="004563E4">
      <w:pPr>
        <w:pStyle w:val="EndNoteBibliography"/>
        <w:rPr>
          <w:rFonts w:asciiTheme="majorHAnsi" w:hAnsiTheme="majorHAnsi"/>
          <w:sz w:val="24"/>
          <w:szCs w:val="24"/>
        </w:rPr>
      </w:pPr>
      <w:r w:rsidRPr="009A5731">
        <w:rPr>
          <w:rFonts w:asciiTheme="majorHAnsi" w:hAnsiTheme="majorHAnsi"/>
          <w:sz w:val="24"/>
          <w:szCs w:val="24"/>
          <w:vertAlign w:val="superscript"/>
        </w:rPr>
        <w:t>1</w:t>
      </w:r>
      <w:r w:rsidRPr="009A5731">
        <w:rPr>
          <w:rFonts w:asciiTheme="majorHAnsi" w:hAnsiTheme="majorHAnsi"/>
          <w:sz w:val="24"/>
          <w:szCs w:val="24"/>
        </w:rPr>
        <w:t xml:space="preserve">Sander, S. G.,  Koschinsky, A., </w:t>
      </w:r>
      <w:r w:rsidRPr="009A5731">
        <w:rPr>
          <w:rFonts w:asciiTheme="majorHAnsi" w:hAnsiTheme="majorHAnsi"/>
          <w:i/>
          <w:sz w:val="24"/>
          <w:szCs w:val="24"/>
        </w:rPr>
        <w:t>Nature Geoscience</w:t>
      </w:r>
      <w:r w:rsidRPr="009A5731">
        <w:rPr>
          <w:rFonts w:asciiTheme="majorHAnsi" w:hAnsiTheme="majorHAnsi"/>
          <w:sz w:val="24"/>
          <w:szCs w:val="24"/>
        </w:rPr>
        <w:t xml:space="preserve"> 4 (3), 145-150 (2011).</w:t>
      </w:r>
    </w:p>
    <w:p w:rsidR="004563E4" w:rsidRDefault="004563E4" w:rsidP="004563E4">
      <w:pPr>
        <w:pStyle w:val="EndNoteBibliography"/>
        <w:rPr>
          <w:rFonts w:asciiTheme="majorHAnsi" w:hAnsiTheme="majorHAnsi"/>
          <w:sz w:val="24"/>
          <w:szCs w:val="24"/>
        </w:rPr>
      </w:pPr>
    </w:p>
    <w:p w:rsidR="004563E4" w:rsidRDefault="004563E4" w:rsidP="009A5731">
      <w:pPr>
        <w:pStyle w:val="EndNoteBibliography"/>
        <w:ind w:right="-4530"/>
        <w:rPr>
          <w:rFonts w:asciiTheme="majorHAnsi" w:hAnsiTheme="majorHAnsi"/>
          <w:sz w:val="24"/>
          <w:szCs w:val="24"/>
        </w:rPr>
      </w:pPr>
      <w:r>
        <w:rPr>
          <w:lang w:val="fr-CH" w:eastAsia="fr-CH"/>
        </w:rPr>
        <w:drawing>
          <wp:anchor distT="0" distB="0" distL="114300" distR="114300" simplePos="0" relativeHeight="251659264" behindDoc="1" locked="0" layoutInCell="1" allowOverlap="1" wp14:anchorId="4AFA341D" wp14:editId="7BAE1F23">
            <wp:simplePos x="0" y="0"/>
            <wp:positionH relativeFrom="margin">
              <wp:posOffset>38100</wp:posOffset>
            </wp:positionH>
            <wp:positionV relativeFrom="paragraph">
              <wp:posOffset>67945</wp:posOffset>
            </wp:positionV>
            <wp:extent cx="3393440" cy="22529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93440" cy="2252980"/>
                    </a:xfrm>
                    <a:prstGeom prst="rect">
                      <a:avLst/>
                    </a:prstGeom>
                    <a:noFill/>
                  </pic:spPr>
                </pic:pic>
              </a:graphicData>
            </a:graphic>
            <wp14:sizeRelH relativeFrom="page">
              <wp14:pctWidth>0</wp14:pctWidth>
            </wp14:sizeRelH>
            <wp14:sizeRelV relativeFrom="page">
              <wp14:pctHeight>0</wp14:pctHeight>
            </wp14:sizeRelV>
          </wp:anchor>
        </w:drawing>
      </w:r>
    </w:p>
    <w:p w:rsidR="004563E4" w:rsidRDefault="004563E4" w:rsidP="009A5731">
      <w:pPr>
        <w:pStyle w:val="EndNoteBibliography"/>
        <w:ind w:right="-4530"/>
        <w:rPr>
          <w:rFonts w:asciiTheme="majorHAnsi" w:hAnsiTheme="majorHAnsi"/>
          <w:sz w:val="24"/>
          <w:szCs w:val="24"/>
        </w:rPr>
      </w:pPr>
    </w:p>
    <w:p w:rsidR="004563E4" w:rsidRDefault="004563E4" w:rsidP="009A5731">
      <w:pPr>
        <w:pStyle w:val="EndNoteBibliography"/>
        <w:ind w:right="-4530"/>
      </w:pPr>
    </w:p>
    <w:p w:rsidR="004563E4" w:rsidRDefault="004563E4" w:rsidP="009A5731">
      <w:pPr>
        <w:ind w:right="-4530"/>
      </w:pPr>
    </w:p>
    <w:p w:rsidR="004F04DA" w:rsidRDefault="004F04DA"/>
    <w:sectPr w:rsidR="004F04DA" w:rsidSect="00F53C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563E4"/>
    <w:rsid w:val="004563E4"/>
    <w:rsid w:val="004F04DA"/>
    <w:rsid w:val="00A50FB3"/>
    <w:rsid w:val="00B473D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3E4"/>
    <w:pPr>
      <w:spacing w:after="0" w:line="280" w:lineRule="exact"/>
    </w:pPr>
    <w:rPr>
      <w:rFonts w:ascii="Times New Roman" w:eastAsia="Times New Roman" w:hAnsi="Times New Roman" w:cs="Times New Roman"/>
      <w:sz w:val="20"/>
      <w:szCs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detexte1">
    <w:name w:val="Corps de texte1"/>
    <w:link w:val="BODYTEXTChar"/>
    <w:rsid w:val="004563E4"/>
    <w:pPr>
      <w:tabs>
        <w:tab w:val="left" w:pos="284"/>
      </w:tabs>
      <w:spacing w:after="0" w:line="220" w:lineRule="exact"/>
      <w:ind w:firstLine="284"/>
      <w:jc w:val="both"/>
    </w:pPr>
    <w:rPr>
      <w:rFonts w:ascii="Times" w:eastAsia="Times New Roman" w:hAnsi="Times" w:cs="Times New Roman"/>
      <w:noProof/>
      <w:sz w:val="18"/>
      <w:szCs w:val="20"/>
      <w:lang w:val="en-GB"/>
    </w:rPr>
  </w:style>
  <w:style w:type="paragraph" w:styleId="En-tte">
    <w:name w:val="header"/>
    <w:basedOn w:val="Normal"/>
    <w:link w:val="En-tteCar"/>
    <w:rsid w:val="004563E4"/>
    <w:pPr>
      <w:tabs>
        <w:tab w:val="center" w:pos="4320"/>
        <w:tab w:val="right" w:pos="8640"/>
      </w:tabs>
    </w:pPr>
  </w:style>
  <w:style w:type="character" w:customStyle="1" w:styleId="En-tteCar">
    <w:name w:val="En-tête Car"/>
    <w:basedOn w:val="Policepardfaut"/>
    <w:link w:val="En-tte"/>
    <w:rsid w:val="004563E4"/>
    <w:rPr>
      <w:rFonts w:ascii="Times New Roman" w:eastAsia="Times New Roman" w:hAnsi="Times New Roman" w:cs="Times New Roman"/>
      <w:sz w:val="20"/>
      <w:szCs w:val="20"/>
      <w:lang w:val="en-GB"/>
    </w:rPr>
  </w:style>
  <w:style w:type="character" w:customStyle="1" w:styleId="BODYTEXTChar">
    <w:name w:val="BODY TEXT Char"/>
    <w:link w:val="Corpsdetexte1"/>
    <w:rsid w:val="004563E4"/>
    <w:rPr>
      <w:rFonts w:ascii="Times" w:eastAsia="Times New Roman" w:hAnsi="Times" w:cs="Times New Roman"/>
      <w:noProof/>
      <w:sz w:val="18"/>
      <w:szCs w:val="20"/>
      <w:lang w:val="en-GB"/>
    </w:rPr>
  </w:style>
  <w:style w:type="paragraph" w:customStyle="1" w:styleId="EndNoteBibliography">
    <w:name w:val="EndNote Bibliography"/>
    <w:basedOn w:val="Normal"/>
    <w:link w:val="EndNoteBibliographyChar"/>
    <w:rsid w:val="004563E4"/>
    <w:pPr>
      <w:spacing w:line="240" w:lineRule="exact"/>
      <w:jc w:val="both"/>
    </w:pPr>
    <w:rPr>
      <w:rFonts w:ascii="Times" w:hAnsi="Times" w:cs="Times"/>
      <w:noProof/>
      <w:sz w:val="18"/>
      <w:lang w:val="en-US"/>
    </w:rPr>
  </w:style>
  <w:style w:type="character" w:customStyle="1" w:styleId="EndNoteBibliographyChar">
    <w:name w:val="EndNote Bibliography Char"/>
    <w:link w:val="EndNoteBibliography"/>
    <w:rsid w:val="004563E4"/>
    <w:rPr>
      <w:rFonts w:ascii="Times" w:eastAsia="Times New Roman" w:hAnsi="Times" w:cs="Times"/>
      <w:noProof/>
      <w:sz w:val="18"/>
      <w:szCs w:val="20"/>
      <w:lang w:val="en-US"/>
    </w:rPr>
  </w:style>
  <w:style w:type="paragraph" w:styleId="Pieddepage">
    <w:name w:val="footer"/>
    <w:basedOn w:val="Normal"/>
    <w:link w:val="PieddepageCar"/>
    <w:uiPriority w:val="99"/>
    <w:unhideWhenUsed/>
    <w:rsid w:val="004563E4"/>
    <w:pPr>
      <w:tabs>
        <w:tab w:val="center" w:pos="4513"/>
        <w:tab w:val="right" w:pos="9026"/>
      </w:tabs>
      <w:spacing w:line="240" w:lineRule="auto"/>
    </w:pPr>
  </w:style>
  <w:style w:type="character" w:customStyle="1" w:styleId="PieddepageCar">
    <w:name w:val="Pied de page Car"/>
    <w:basedOn w:val="Policepardfaut"/>
    <w:link w:val="Pieddepage"/>
    <w:uiPriority w:val="99"/>
    <w:rsid w:val="004563E4"/>
    <w:rPr>
      <w:rFonts w:ascii="Times New Roman" w:eastAsia="Times New Roman" w:hAnsi="Times New Roman"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3E4"/>
    <w:pPr>
      <w:spacing w:after="0" w:line="280" w:lineRule="exact"/>
    </w:pPr>
    <w:rPr>
      <w:rFonts w:ascii="Times New Roman" w:eastAsia="Times New Roman" w:hAnsi="Times New Roman" w:cs="Times New Roman"/>
      <w:sz w:val="20"/>
      <w:szCs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detexte1">
    <w:name w:val="Corps de texte1"/>
    <w:link w:val="BODYTEXTChar"/>
    <w:rsid w:val="004563E4"/>
    <w:pPr>
      <w:tabs>
        <w:tab w:val="left" w:pos="284"/>
      </w:tabs>
      <w:spacing w:after="0" w:line="220" w:lineRule="exact"/>
      <w:ind w:firstLine="284"/>
      <w:jc w:val="both"/>
    </w:pPr>
    <w:rPr>
      <w:rFonts w:ascii="Times" w:eastAsia="Times New Roman" w:hAnsi="Times" w:cs="Times New Roman"/>
      <w:noProof/>
      <w:sz w:val="18"/>
      <w:szCs w:val="20"/>
      <w:lang w:val="en-GB"/>
    </w:rPr>
  </w:style>
  <w:style w:type="paragraph" w:styleId="En-tte">
    <w:name w:val="header"/>
    <w:basedOn w:val="Normal"/>
    <w:link w:val="En-tteCar"/>
    <w:rsid w:val="004563E4"/>
    <w:pPr>
      <w:tabs>
        <w:tab w:val="center" w:pos="4320"/>
        <w:tab w:val="right" w:pos="8640"/>
      </w:tabs>
    </w:pPr>
  </w:style>
  <w:style w:type="character" w:customStyle="1" w:styleId="En-tteCar">
    <w:name w:val="En-tête Car"/>
    <w:basedOn w:val="Policepardfaut"/>
    <w:link w:val="En-tte"/>
    <w:rsid w:val="004563E4"/>
    <w:rPr>
      <w:rFonts w:ascii="Times New Roman" w:eastAsia="Times New Roman" w:hAnsi="Times New Roman" w:cs="Times New Roman"/>
      <w:sz w:val="20"/>
      <w:szCs w:val="20"/>
      <w:lang w:val="en-GB"/>
    </w:rPr>
  </w:style>
  <w:style w:type="character" w:customStyle="1" w:styleId="BODYTEXTChar">
    <w:name w:val="BODY TEXT Char"/>
    <w:link w:val="Corpsdetexte1"/>
    <w:rsid w:val="004563E4"/>
    <w:rPr>
      <w:rFonts w:ascii="Times" w:eastAsia="Times New Roman" w:hAnsi="Times" w:cs="Times New Roman"/>
      <w:noProof/>
      <w:sz w:val="18"/>
      <w:szCs w:val="20"/>
      <w:lang w:val="en-GB"/>
    </w:rPr>
  </w:style>
  <w:style w:type="paragraph" w:customStyle="1" w:styleId="EndNoteBibliography">
    <w:name w:val="EndNote Bibliography"/>
    <w:basedOn w:val="Normal"/>
    <w:link w:val="EndNoteBibliographyChar"/>
    <w:rsid w:val="004563E4"/>
    <w:pPr>
      <w:spacing w:line="240" w:lineRule="exact"/>
      <w:jc w:val="both"/>
    </w:pPr>
    <w:rPr>
      <w:rFonts w:ascii="Times" w:hAnsi="Times" w:cs="Times"/>
      <w:noProof/>
      <w:sz w:val="18"/>
      <w:lang w:val="en-US"/>
    </w:rPr>
  </w:style>
  <w:style w:type="character" w:customStyle="1" w:styleId="EndNoteBibliographyChar">
    <w:name w:val="EndNote Bibliography Char"/>
    <w:link w:val="EndNoteBibliography"/>
    <w:rsid w:val="004563E4"/>
    <w:rPr>
      <w:rFonts w:ascii="Times" w:eastAsia="Times New Roman" w:hAnsi="Times" w:cs="Times"/>
      <w:noProof/>
      <w:sz w:val="18"/>
      <w:szCs w:val="20"/>
      <w:lang w:val="en-US"/>
    </w:rPr>
  </w:style>
  <w:style w:type="paragraph" w:styleId="Pieddepage">
    <w:name w:val="footer"/>
    <w:basedOn w:val="Normal"/>
    <w:link w:val="PieddepageCar"/>
    <w:uiPriority w:val="99"/>
    <w:unhideWhenUsed/>
    <w:rsid w:val="004563E4"/>
    <w:pPr>
      <w:tabs>
        <w:tab w:val="center" w:pos="4513"/>
        <w:tab w:val="right" w:pos="9026"/>
      </w:tabs>
      <w:spacing w:line="240" w:lineRule="auto"/>
    </w:pPr>
  </w:style>
  <w:style w:type="character" w:customStyle="1" w:styleId="PieddepageCar">
    <w:name w:val="Pied de page Car"/>
    <w:basedOn w:val="Policepardfaut"/>
    <w:link w:val="Pieddepage"/>
    <w:uiPriority w:val="99"/>
    <w:rsid w:val="004563E4"/>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197</Words>
  <Characters>1087</Characters>
  <Application>Microsoft Office Word</Application>
  <DocSecurity>0</DocSecurity>
  <Lines>9</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sylvias</dc:creator>
  <cp:lastModifiedBy>Francisco Marzoa</cp:lastModifiedBy>
  <cp:revision>2</cp:revision>
  <dcterms:created xsi:type="dcterms:W3CDTF">2016-10-06T14:54:00Z</dcterms:created>
  <dcterms:modified xsi:type="dcterms:W3CDTF">2016-10-06T14:54:00Z</dcterms:modified>
</cp:coreProperties>
</file>